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43F" w14:textId="76CF8F96" w:rsidR="007F2244" w:rsidRDefault="007F2244" w:rsidP="007F2244">
      <w:pPr>
        <w:spacing w:after="0" w:line="240" w:lineRule="auto"/>
        <w:ind w:left="525" w:right="525"/>
        <w:jc w:val="center"/>
        <w:outlineLvl w:val="2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орядок оформления и оплаты наставничества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 xml:space="preserve">изменения) </w:t>
      </w:r>
    </w:p>
    <w:p w14:paraId="74B70568" w14:textId="14AA1D9E" w:rsidR="00FF60F7" w:rsidRPr="007F2244" w:rsidRDefault="00FF60F7" w:rsidP="007F2244">
      <w:pPr>
        <w:spacing w:after="0" w:line="240" w:lineRule="auto"/>
        <w:ind w:left="525" w:right="525"/>
        <w:jc w:val="center"/>
        <w:outlineLvl w:val="2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Документ</w:t>
      </w:r>
    </w:p>
    <w:p w14:paraId="2C5760D7" w14:textId="77777777" w:rsidR="00FF60F7" w:rsidRPr="007F2244" w:rsidRDefault="00FF60F7" w:rsidP="007F2244">
      <w:pPr>
        <w:spacing w:after="0" w:line="240" w:lineRule="auto"/>
        <w:ind w:left="525" w:right="52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 </w:t>
      </w:r>
      <w:hyperlink r:id="rId5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от 09.11.2024 № 381-ФЗ</w:t>
        </w:r>
      </w:hyperlink>
    </w:p>
    <w:p w14:paraId="2F2AEDE6" w14:textId="77777777" w:rsidR="00FF60F7" w:rsidRPr="007F2244" w:rsidRDefault="00FF60F7" w:rsidP="007F2244">
      <w:pPr>
        <w:spacing w:after="0" w:line="240" w:lineRule="auto"/>
        <w:ind w:left="525" w:right="525"/>
        <w:jc w:val="both"/>
        <w:outlineLvl w:val="2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Комментарий</w:t>
      </w:r>
    </w:p>
    <w:p w14:paraId="1CF56992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1 марта 2025 года порядок оформления и оплаты наставничества будет урегулирован новой статьей 351.8 ТК РФ.</w:t>
      </w:r>
    </w:p>
    <w:p w14:paraId="0DDFD7CA" w14:textId="77777777" w:rsidR="00FF60F7" w:rsidRPr="007F2244" w:rsidRDefault="00FF60F7" w:rsidP="007F2244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Что такое наставничество?</w:t>
      </w:r>
    </w:p>
    <w:p w14:paraId="5F661A60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Наставничество в сфере труда – это выполнение сотрудником с его письменного согласия по поручению работодателя работы по оказанию другому сотруднику помощи в овладении навыками работы на производстве и (или) рабочем месте по полученной либо получаемой другим сотрудником профессии (специальности). Такое определение закреплено в ч. 1 ст. 351.8 ТК РФ. Поручить работнику выполнение функций наставника можно только с его согласия. Принуждать сотрудника к такой работе работодатель не вправе.</w:t>
      </w:r>
    </w:p>
    <w:p w14:paraId="6B0EC557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Работодатели, как правило, организуют наставничество для новых сотрудников, не имеющих опыта работы или с небольшим опытом, чтобы помочь им адаптироваться в коллективе, вникнуть в работу и быстрее приступить к самостоятельному выполнению трудовых обязанностей.</w:t>
      </w:r>
    </w:p>
    <w:p w14:paraId="30B58D19" w14:textId="77777777" w:rsidR="00FF60F7" w:rsidRPr="007F2244" w:rsidRDefault="00FF60F7" w:rsidP="007F2244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Оформление наставничества</w:t>
      </w:r>
    </w:p>
    <w:p w14:paraId="3FF2C08A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поручения сотруднику работы по наставничеству в трудовом договоре или в дополнительном соглашении к нему нужно указать (ч. 2, 5 ст. 351.8 ТК РФ):</w:t>
      </w:r>
    </w:p>
    <w:p w14:paraId="5ED13A69" w14:textId="77777777" w:rsidR="00FF60F7" w:rsidRPr="007F2244" w:rsidRDefault="00FF60F7" w:rsidP="007F2244">
      <w:pPr>
        <w:numPr>
          <w:ilvl w:val="0"/>
          <w:numId w:val="1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содержание, сроки и форму выполнения такой работы;</w:t>
      </w:r>
    </w:p>
    <w:p w14:paraId="1BBAA48A" w14:textId="77777777" w:rsidR="00FF60F7" w:rsidRPr="007F2244" w:rsidRDefault="00FF60F7" w:rsidP="007F2244">
      <w:pPr>
        <w:numPr>
          <w:ilvl w:val="0"/>
          <w:numId w:val="1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размеры и условия оплаты наставничества с учетом содержания и (или) объема этой работы. Размеры и условия этих выплат должны соответствовать системам оплаты труда работодателя и быть не меньше и не хуже тех, которые установлены нормативными актами, соглашениями в этой сфере деятельности.</w:t>
      </w:r>
    </w:p>
    <w:p w14:paraId="6247062A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о необходимости издания приказа о назначении работника наставником в ст. 351.8 ТК РФ не урегулирован. Работодателям рекомендуется издать такой приказ и ознакомить с ним сотрудника под подпись. Приказ составляется в свободной форме. Но поскольку такой приказ не обязателен, работодатель сам решает, издавать его или нет.</w:t>
      </w:r>
    </w:p>
    <w:p w14:paraId="59C476C3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 организации наставничества можно установить локальным нормативным актом работодателя (например, Положением о наставничестве) (</w:t>
      </w:r>
      <w:hyperlink r:id="rId6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ст. 8 ТК РФ</w:t>
        </w:r>
      </w:hyperlink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 С этим локальным нормативным актом необходимо ознакомить сотрудников под подпись (</w:t>
      </w:r>
      <w:proofErr w:type="spellStart"/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begin"/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HYPERLINK "https://its.1c.ru/db/garant/content/12025268/hdoc/220291" \t "_top"</w:instrText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separate"/>
      </w:r>
      <w:r w:rsidRPr="007F2244">
        <w:rPr>
          <w:rFonts w:ascii="Times New Roman" w:eastAsia="Times New Roman" w:hAnsi="Times New Roman" w:cs="Times New Roman"/>
          <w:color w:val="16489B"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7F2244">
        <w:rPr>
          <w:rFonts w:ascii="Times New Roman" w:eastAsia="Times New Roman" w:hAnsi="Times New Roman" w:cs="Times New Roman"/>
          <w:color w:val="16489B"/>
          <w:kern w:val="0"/>
          <w:sz w:val="28"/>
          <w:szCs w:val="28"/>
          <w:lang w:eastAsia="ru-RU"/>
          <w14:ligatures w14:val="none"/>
        </w:rPr>
        <w:t>. 10 ч. 2 ст. 22</w:t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end"/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</w:t>
      </w:r>
      <w:hyperlink r:id="rId7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ч. 3 ст. 68 ТК РФ</w:t>
        </w:r>
      </w:hyperlink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610CFA31" w14:textId="77777777" w:rsidR="00FF60F7" w:rsidRPr="007F2244" w:rsidRDefault="00FF60F7" w:rsidP="007F2244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Оплата наставничества</w:t>
      </w:r>
    </w:p>
    <w:p w14:paraId="49E72475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Трудовое законодательство предусматривает оплату функций наставника.</w:t>
      </w:r>
    </w:p>
    <w:p w14:paraId="436E839B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Размеры и условия выплат за наставничество могут устанавливаться (ч. 3, 4 ст. 351.8 ТК РФ):</w:t>
      </w:r>
    </w:p>
    <w:p w14:paraId="01BBA8C1" w14:textId="77777777" w:rsidR="00FF60F7" w:rsidRPr="007F2244" w:rsidRDefault="00FF60F7" w:rsidP="007F2244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работникам федеральных государственных учреждений – федеральными законами, иными нормативными актами РФ,</w:t>
      </w:r>
    </w:p>
    <w:p w14:paraId="1745A69E" w14:textId="77777777" w:rsidR="00FF60F7" w:rsidRPr="007F2244" w:rsidRDefault="00FF60F7" w:rsidP="007F2244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работникам государственных учреждений субъектов РФ, муниципальных учреждений – законами и иными нормативными актами субъектов РФ, нормативными актами органов местного самоуправления,</w:t>
      </w:r>
    </w:p>
    <w:p w14:paraId="6615BF35" w14:textId="77777777" w:rsidR="00FF60F7" w:rsidRPr="007F2244" w:rsidRDefault="00FF60F7" w:rsidP="007F2244">
      <w:pPr>
        <w:numPr>
          <w:ilvl w:val="0"/>
          <w:numId w:val="2"/>
        </w:numPr>
        <w:spacing w:after="0" w:line="240" w:lineRule="auto"/>
        <w:ind w:left="1418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работникам других организаций – коллективными договорами, соглашениями, локальными нормативными актами.</w:t>
      </w:r>
    </w:p>
    <w:p w14:paraId="6B5553DB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Размеры и условия выплат за наставничество необходимо установить работнику трудовым договором или дополнительным соглашением к трудовому договору. При этом нужно учитывать содержание и (или) объем работы по наставничеству (ч. 5 ст. 351.8 ТК РФ). Например, предусмотреть доплату работнику за наставничество (в процентах от оклада (тарифной ставки) или в фиксированной сумме).</w:t>
      </w:r>
    </w:p>
    <w:p w14:paraId="437EDF36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 размеры и условия выплат за наставничество должны быть не меньше и не хуже, чем размеры и условия выплат за наставничество, установленные нормативными актами, соглашениями в соответствующей сфере.</w:t>
      </w:r>
    </w:p>
    <w:p w14:paraId="7545EEC2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для работников организаций ЖКХ, на которых распространяется действие отраслевого тарифного соглашения, размер надбавки наставникам должен быть не менее 10 % от размера тарифной ставки (</w:t>
      </w:r>
      <w:proofErr w:type="spellStart"/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"м" п. 2.8.2.1 Федерального отраслевого тарифного соглашения в жилищно-коммунальном хозяйстве Российской Федерации на 2023–2025 гг. от 12.05.2022).</w:t>
      </w:r>
    </w:p>
    <w:p w14:paraId="16E58802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у работодателя сотрудники уже выполняют функции наставников, следует прописать в трудовом договоре обязанности по наставничеству и доплачивать за их выполнение. Для этого с сотрудниками заключаются дополнительные соглашения к трудовым договорам (</w:t>
      </w:r>
      <w:hyperlink r:id="rId8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ст. 72 ТК РФ</w:t>
        </w:r>
      </w:hyperlink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 Это связано с тем, что отсутствие оплаты за наставничество нарушает права работников-наставников и может стать поводом для привлечения работодателя к административной ответственности по </w:t>
      </w:r>
      <w:hyperlink r:id="rId9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ч. 6 ст. 5.27 КоАП РФ</w:t>
        </w:r>
      </w:hyperlink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E9F6E31" w14:textId="77777777" w:rsidR="00FF60F7" w:rsidRPr="007F2244" w:rsidRDefault="00FF60F7" w:rsidP="007F2244">
      <w:pPr>
        <w:spacing w:after="0" w:line="240" w:lineRule="auto"/>
        <w:ind w:left="525" w:right="525"/>
        <w:jc w:val="both"/>
        <w:outlineLvl w:val="3"/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373737"/>
          <w:kern w:val="0"/>
          <w:sz w:val="28"/>
          <w:szCs w:val="28"/>
          <w:lang w:eastAsia="ru-RU"/>
          <w14:ligatures w14:val="none"/>
        </w:rPr>
        <w:t>Прекращение наставничества</w:t>
      </w:r>
    </w:p>
    <w:p w14:paraId="45535A37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сторон трудового договора предусмотрена возможность прекращения наставничества ранее установленного срока (ч. 6 ст. 351.8 ТК РФ). Работник вправе досрочно отказаться от наставничества, а работодатель досрочно отменить поручение о выполнении работы по наставничеству.</w:t>
      </w:r>
    </w:p>
    <w:p w14:paraId="29B8D91B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инициатива о досрочной отмене наставничества исходит от работодателя, он обязан предупредить работника об этом не менее чем за три рабочих дня до прекращения выполнения этих функций. Целесообразно сделать это в письменной форме. Например, </w:t>
      </w: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оформить уведомление о досрочном прекращении наставничества в свободной форме и вручить его сотруднику под подпись.</w:t>
      </w:r>
    </w:p>
    <w:p w14:paraId="336DB494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ситуации, когда работник решил досрочно отказаться от выполнения работы по наставничеству, он также должен предупредить об этом работодателя. Сделать это лучше в письменной форме (например, написать заявление на имя руководителя организации). Точный срок предупреждения сотрудником работодателя об отказе от наставничества в ТК РФ не установлен. Полагаем, целесообразно предупредить работодателя также за три рабочих дня до прекращения выполнения этих функций.</w:t>
      </w:r>
    </w:p>
    <w:p w14:paraId="12B56E74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Отметим, что ТК РФ не обязывает сотрудника и работодателя указывать в таком уведомлении (заявлении) причину, по которой прекращается выполнение работы по наставничеству.</w:t>
      </w:r>
    </w:p>
    <w:p w14:paraId="555B2611" w14:textId="77777777" w:rsidR="00FF60F7" w:rsidRPr="007F2244" w:rsidRDefault="00FF60F7" w:rsidP="007F2244">
      <w:pPr>
        <w:spacing w:after="0" w:line="240" w:lineRule="auto"/>
        <w:ind w:left="525" w:right="5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досрочной отмены наставничества рекомендуем сотруднику и работодателю заключить соответствующее соглашение в письменной форме. В это соглашение имеет смысл включить условие об отмене выполнения функций наставника, дату, с которой работнику отменяется наставничество и прекращается выплата доплаты за наставничество. Это следует из норм </w:t>
      </w:r>
      <w:hyperlink r:id="rId10" w:tgtFrame="_top" w:history="1">
        <w:r w:rsidRPr="007F2244">
          <w:rPr>
            <w:rFonts w:ascii="Times New Roman" w:eastAsia="Times New Roman" w:hAnsi="Times New Roman" w:cs="Times New Roman"/>
            <w:color w:val="16489B"/>
            <w:kern w:val="0"/>
            <w:sz w:val="28"/>
            <w:szCs w:val="28"/>
            <w:lang w:eastAsia="ru-RU"/>
            <w14:ligatures w14:val="none"/>
          </w:rPr>
          <w:t>ст. 72 ТК РФ</w:t>
        </w:r>
      </w:hyperlink>
      <w:r w:rsidRPr="007F22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согласно которым изменение условий трудового договора по общему правилу допускается только по соглашению сторон трудового договора.</w:t>
      </w:r>
    </w:p>
    <w:p w14:paraId="61925DE3" w14:textId="77777777" w:rsidR="00EC5D16" w:rsidRPr="007F2244" w:rsidRDefault="00EC5D16" w:rsidP="007F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D16" w:rsidRPr="007F2244" w:rsidSect="00DA723D">
      <w:pgSz w:w="11910" w:h="16840" w:code="9"/>
      <w:pgMar w:top="1134" w:right="850" w:bottom="1134" w:left="1701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6FB"/>
    <w:multiLevelType w:val="multilevel"/>
    <w:tmpl w:val="FC02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1340A"/>
    <w:multiLevelType w:val="multilevel"/>
    <w:tmpl w:val="592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8613">
    <w:abstractNumId w:val="0"/>
  </w:num>
  <w:num w:numId="2" w16cid:durableId="30600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F7"/>
    <w:rsid w:val="00525048"/>
    <w:rsid w:val="007F2244"/>
    <w:rsid w:val="0089011B"/>
    <w:rsid w:val="00AF1C31"/>
    <w:rsid w:val="00BC41E0"/>
    <w:rsid w:val="00CE7B03"/>
    <w:rsid w:val="00DA723D"/>
    <w:rsid w:val="00EC5D16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C245"/>
  <w15:chartTrackingRefBased/>
  <w15:docId w15:val="{247198C2-DD9E-4E8A-9D4B-AC1A7EE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FF6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0F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FF60F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F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F6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25268/hdoc/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8/hdoc/68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8/hdoc/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s.1c.ru/db/garant/content/410603808/hdoc" TargetMode="External"/><Relationship Id="rId10" Type="http://schemas.openxmlformats.org/officeDocument/2006/relationships/hyperlink" Target="https://its.1c.ru/db/garant/content/12025268/hdoc/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12025267/hdoc/52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2</cp:revision>
  <dcterms:created xsi:type="dcterms:W3CDTF">2025-01-17T08:24:00Z</dcterms:created>
  <dcterms:modified xsi:type="dcterms:W3CDTF">2025-01-17T08:24:00Z</dcterms:modified>
</cp:coreProperties>
</file>